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93" w:rsidRPr="00F63D93" w:rsidRDefault="00F63D93" w:rsidP="00F63D93">
      <w:pPr>
        <w:spacing w:line="360" w:lineRule="auto"/>
        <w:jc w:val="both"/>
        <w:rPr>
          <w:rFonts w:eastAsiaTheme="majorEastAsia"/>
          <w:lang w:val="vi-VN"/>
        </w:rPr>
      </w:pPr>
      <w:r w:rsidRPr="0008073E">
        <w:rPr>
          <w:rFonts w:eastAsiaTheme="majorEastAsia"/>
          <w:b/>
          <w:sz w:val="24"/>
          <w:szCs w:val="24"/>
          <w:lang w:val="vi-VN"/>
        </w:rPr>
        <w:t>TỪ VỰNG SÁCH VỞ</w:t>
      </w:r>
      <w:r w:rsidRPr="0008073E">
        <w:rPr>
          <w:rFonts w:eastAsiaTheme="majorEastAsia"/>
          <w:lang w:val="vi-VN"/>
        </w:rPr>
        <w:t xml:space="preserve">, từ ngữ được dùng chủ yếu trong sách vở, báo chí. </w:t>
      </w:r>
      <w:r w:rsidRPr="00F63D93">
        <w:rPr>
          <w:rFonts w:eastAsiaTheme="majorEastAsia"/>
          <w:lang w:val="vi-VN"/>
        </w:rPr>
        <w:t>Đây là lớp từ ngữ đã được chọn lọc trau dồi</w:t>
      </w:r>
      <w:r w:rsidRPr="00537AD5">
        <w:rPr>
          <w:rFonts w:eastAsiaTheme="majorEastAsia"/>
          <w:lang w:val="vi-VN"/>
        </w:rPr>
        <w:t xml:space="preserve"> theo các tiêu</w:t>
      </w:r>
      <w:r w:rsidRPr="00F63D93">
        <w:rPr>
          <w:rFonts w:eastAsiaTheme="majorEastAsia"/>
          <w:lang w:val="vi-VN"/>
        </w:rPr>
        <w:t xml:space="preserve"> chuẩn nghiêm ngặt và chỉ dùng trong phong cách viết thuộc một số phong cách chức năng cụ thể (phong cách khoa học, phong cách hành chính, phong cách chính luận báo chí, phong cách văn học nghệ thuật).</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lang w:val="vi-VN"/>
        </w:rPr>
        <w:t>V</w:t>
      </w:r>
      <w:r w:rsidRPr="00F63D93">
        <w:rPr>
          <w:rFonts w:eastAsiaTheme="majorEastAsia"/>
          <w:lang w:val="vi-VN"/>
        </w:rPr>
        <w:t>ốn từ vựng của một ngôn ngữ có thể được dùng theo</w:t>
      </w:r>
      <w:r w:rsidRPr="00537AD5">
        <w:rPr>
          <w:rFonts w:eastAsiaTheme="majorEastAsia"/>
          <w:lang w:val="vi-VN"/>
        </w:rPr>
        <w:t xml:space="preserve"> hai</w:t>
      </w:r>
      <w:r w:rsidRPr="00F63D93">
        <w:rPr>
          <w:rFonts w:eastAsiaTheme="majorEastAsia"/>
          <w:lang w:val="vi-VN"/>
        </w:rPr>
        <w:t xml:space="preserve"> phong cách </w:t>
      </w:r>
      <w:r w:rsidRPr="00537AD5">
        <w:rPr>
          <w:rFonts w:eastAsiaTheme="majorEastAsia"/>
          <w:lang w:val="vi-VN"/>
        </w:rPr>
        <w:t>chủ yếu</w:t>
      </w:r>
      <w:r w:rsidRPr="00F63D93">
        <w:rPr>
          <w:rFonts w:eastAsiaTheme="majorEastAsia"/>
          <w:lang w:val="vi-VN"/>
        </w:rPr>
        <w:t>: phong cách hội thoại và phong cách sách vở. Tương ứng với hai phong cách chức năng đó, từ</w:t>
      </w:r>
      <w:r w:rsidRPr="00537AD5">
        <w:rPr>
          <w:rFonts w:eastAsiaTheme="majorEastAsia"/>
          <w:lang w:val="vi-VN"/>
        </w:rPr>
        <w:t xml:space="preserve"> vựng</w:t>
      </w:r>
      <w:r w:rsidRPr="00F63D93">
        <w:rPr>
          <w:rFonts w:eastAsiaTheme="majorEastAsia"/>
          <w:lang w:val="vi-VN"/>
        </w:rPr>
        <w:t xml:space="preserve"> tiếng Việt</w:t>
      </w:r>
      <w:r w:rsidRPr="00537AD5">
        <w:rPr>
          <w:rFonts w:eastAsiaTheme="majorEastAsia"/>
          <w:lang w:val="vi-VN"/>
        </w:rPr>
        <w:t xml:space="preserve"> có thể chia</w:t>
      </w:r>
      <w:r w:rsidRPr="00F63D93">
        <w:rPr>
          <w:rFonts w:eastAsiaTheme="majorEastAsia"/>
          <w:lang w:val="vi-VN"/>
        </w:rPr>
        <w:t xml:space="preserve"> thành lớp từ vựng hội thoại và lớp từ vựng sách vở.</w:t>
      </w:r>
      <w:r w:rsidRPr="00537AD5">
        <w:rPr>
          <w:rFonts w:eastAsiaTheme="majorEastAsia"/>
          <w:lang w:val="vi-VN"/>
        </w:rPr>
        <w:t xml:space="preserve"> Từ vựng hội thoại chủ yếu dùng trong phong cách nói còn từ vựng sách vở (TVSV) chủ yếu dùng trong phong cách viết.Về mặt nguồn gốc, TVSV thường là các từ Hán - Việt, như: </w:t>
      </w:r>
      <w:r w:rsidRPr="00537AD5">
        <w:rPr>
          <w:rFonts w:eastAsiaTheme="majorEastAsia"/>
          <w:i/>
          <w:iCs/>
          <w:lang w:val="vi-VN"/>
        </w:rPr>
        <w:t>cách mạng, đại lượng, giá trị thặng dư, hàm số, quan hệ sản xuất, xã hội chủ nghĩa,</w:t>
      </w:r>
      <w:r w:rsidRPr="00537AD5">
        <w:rPr>
          <w:rFonts w:eastAsiaTheme="majorEastAsia"/>
          <w:lang w:val="vi-VN"/>
        </w:rPr>
        <w:t xml:space="preserve">…; hoặc là các từ gốc Ấn - Âu như: </w:t>
      </w:r>
      <w:r w:rsidRPr="00537AD5">
        <w:rPr>
          <w:rFonts w:eastAsiaTheme="majorEastAsia"/>
          <w:i/>
          <w:iCs/>
          <w:lang w:val="vi-VN"/>
        </w:rPr>
        <w:t xml:space="preserve">pênixilin, proton, salông, Xô viết,... </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lang w:val="vi-VN"/>
        </w:rPr>
        <w:t xml:space="preserve">Xét về mặt lịch đại, </w:t>
      </w:r>
      <w:r w:rsidRPr="00537AD5">
        <w:rPr>
          <w:rFonts w:eastAsiaTheme="majorEastAsia"/>
          <w:iCs/>
          <w:lang w:val="vi-VN"/>
        </w:rPr>
        <w:t>cá</w:t>
      </w:r>
      <w:r w:rsidRPr="00537AD5">
        <w:rPr>
          <w:rFonts w:eastAsiaTheme="majorEastAsia"/>
          <w:lang w:val="vi-VN"/>
        </w:rPr>
        <w:t xml:space="preserve">c từ cổ, từ lịch sử như: </w:t>
      </w:r>
      <w:r w:rsidRPr="00537AD5">
        <w:rPr>
          <w:rFonts w:eastAsiaTheme="majorEastAsia"/>
          <w:i/>
          <w:iCs/>
          <w:lang w:val="vi-VN"/>
        </w:rPr>
        <w:t>lý trưởng, tổng đốc, bố chánh, thượng thư,…</w:t>
      </w:r>
      <w:r w:rsidRPr="00537AD5">
        <w:rPr>
          <w:rFonts w:eastAsiaTheme="majorEastAsia"/>
          <w:lang w:val="vi-VN"/>
        </w:rPr>
        <w:t xml:space="preserve"> chủ yếu chỉ được dùng trong sách vở khi muốn nói về xã hội cũ. Các từ cổ khác như </w:t>
      </w:r>
      <w:r w:rsidRPr="00537AD5">
        <w:rPr>
          <w:rFonts w:eastAsiaTheme="majorEastAsia"/>
          <w:i/>
          <w:iCs/>
          <w:lang w:val="vi-VN"/>
        </w:rPr>
        <w:t>han</w:t>
      </w:r>
      <w:r w:rsidRPr="00537AD5">
        <w:rPr>
          <w:rFonts w:eastAsiaTheme="majorEastAsia"/>
          <w:lang w:val="vi-VN"/>
        </w:rPr>
        <w:t xml:space="preserve"> (nghĩa là </w:t>
      </w:r>
      <w:r w:rsidRPr="00537AD5">
        <w:rPr>
          <w:rFonts w:eastAsiaTheme="majorEastAsia"/>
          <w:bCs/>
          <w:lang w:val="ru-RU"/>
        </w:rPr>
        <w:t>“</w:t>
      </w:r>
      <w:r w:rsidRPr="00537AD5">
        <w:rPr>
          <w:rFonts w:eastAsiaTheme="majorEastAsia"/>
          <w:lang w:val="vi-VN"/>
        </w:rPr>
        <w:t>hỏi</w:t>
      </w:r>
      <w:r w:rsidRPr="00537AD5">
        <w:rPr>
          <w:rFonts w:eastAsiaTheme="majorEastAsia"/>
          <w:bCs/>
          <w:lang w:val="ru-RU"/>
        </w:rPr>
        <w:t>”</w:t>
      </w:r>
      <w:r w:rsidRPr="00537AD5">
        <w:rPr>
          <w:rFonts w:eastAsiaTheme="majorEastAsia"/>
          <w:lang w:val="vi-VN"/>
        </w:rPr>
        <w:t xml:space="preserve">), </w:t>
      </w:r>
      <w:r w:rsidRPr="00537AD5">
        <w:rPr>
          <w:rFonts w:eastAsiaTheme="majorEastAsia"/>
          <w:i/>
          <w:iCs/>
          <w:lang w:val="vi-VN"/>
        </w:rPr>
        <w:t>gìn</w:t>
      </w:r>
      <w:r w:rsidRPr="00537AD5">
        <w:rPr>
          <w:rFonts w:eastAsiaTheme="majorEastAsia"/>
          <w:lang w:val="vi-VN"/>
        </w:rPr>
        <w:t xml:space="preserve"> (nghĩa là </w:t>
      </w:r>
      <w:r w:rsidRPr="00537AD5">
        <w:rPr>
          <w:rFonts w:eastAsiaTheme="majorEastAsia"/>
          <w:bCs/>
          <w:lang w:val="ru-RU"/>
        </w:rPr>
        <w:t>“</w:t>
      </w:r>
      <w:r w:rsidRPr="00537AD5">
        <w:rPr>
          <w:rFonts w:eastAsiaTheme="majorEastAsia"/>
          <w:lang w:val="vi-VN"/>
        </w:rPr>
        <w:t>giữ</w:t>
      </w:r>
      <w:r w:rsidRPr="00537AD5">
        <w:rPr>
          <w:rFonts w:eastAsiaTheme="majorEastAsia"/>
          <w:bCs/>
          <w:lang w:val="ru-RU"/>
        </w:rPr>
        <w:t>”</w:t>
      </w:r>
      <w:r w:rsidRPr="00537AD5">
        <w:rPr>
          <w:rFonts w:eastAsiaTheme="majorEastAsia"/>
          <w:lang w:val="vi-VN"/>
        </w:rPr>
        <w:t xml:space="preserve">), ngơi (nghĩa là </w:t>
      </w:r>
      <w:r w:rsidRPr="00537AD5">
        <w:rPr>
          <w:rFonts w:eastAsiaTheme="majorEastAsia"/>
          <w:bCs/>
          <w:lang w:val="ru-RU"/>
        </w:rPr>
        <w:t>“</w:t>
      </w:r>
      <w:r w:rsidRPr="00537AD5">
        <w:rPr>
          <w:rFonts w:eastAsiaTheme="majorEastAsia"/>
          <w:lang w:val="vi-VN"/>
        </w:rPr>
        <w:t>nghỉ</w:t>
      </w:r>
      <w:r w:rsidRPr="00537AD5">
        <w:rPr>
          <w:rFonts w:eastAsiaTheme="majorEastAsia"/>
          <w:bCs/>
          <w:lang w:val="ru-RU"/>
        </w:rPr>
        <w:t>”</w:t>
      </w:r>
      <w:r w:rsidRPr="00537AD5">
        <w:rPr>
          <w:rFonts w:eastAsiaTheme="majorEastAsia"/>
          <w:lang w:val="vi-VN"/>
        </w:rPr>
        <w:t>),… cũng chỉ còn lại di tích trên sách vở, hiện nay không còn được sử dụng trong khẩu ngữ hàng ngày. Ngược lại, các từ mới tu từ học là những sáng tạo có tính chất cá nhân của nhà văn, nhà thơ trong tác phẩm nghệ thuật cũng làm một bộ phận của lớp TVSV, hiếm khi sử dụng trong hội thoại do chưa được phổ biến.</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lang w:val="vi-VN"/>
        </w:rPr>
        <w:t xml:space="preserve">Về mặt cấu trúc, TVSV phần lớn là các từ ghép, tên ghép. Các từ đơn tiết cũng dùng trong phong cách viết nhưng chúng không phải là bộ phận tiêu biểu. </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lang w:val="vi-VN"/>
        </w:rPr>
        <w:t>Về mặt nội dung, TVSV thường là những từ chỉ các khái niệm trừu tượng, hiện tượng tự nhiên, sinh lý, tâm lý, văn hóa và đời sống của con người (</w:t>
      </w:r>
      <w:r w:rsidRPr="00537AD5">
        <w:rPr>
          <w:rFonts w:eastAsiaTheme="majorEastAsia"/>
          <w:i/>
          <w:iCs/>
          <w:lang w:val="vi-VN"/>
        </w:rPr>
        <w:t xml:space="preserve">thiên nhiên, cảm tình, thảo mộc, sơn hà, triết học, trừu tượng, cụ thể,...). </w:t>
      </w:r>
      <w:r w:rsidRPr="00537AD5">
        <w:rPr>
          <w:rFonts w:eastAsiaTheme="majorEastAsia"/>
          <w:iCs/>
          <w:lang w:val="vi-VN"/>
        </w:rPr>
        <w:t xml:space="preserve">TVSV </w:t>
      </w:r>
      <w:r w:rsidRPr="00537AD5">
        <w:rPr>
          <w:rFonts w:eastAsiaTheme="majorEastAsia"/>
          <w:lang w:val="vi-VN"/>
        </w:rPr>
        <w:t xml:space="preserve">có thể chia thành các nhóm nhỏ theo các phong cách chức năng cụ thể khác nhau và mang những đặc điểm khác nhau. Các từ dùng trong các tác phẩm khoa học khác </w:t>
      </w:r>
      <w:r w:rsidRPr="00537AD5">
        <w:rPr>
          <w:rFonts w:eastAsiaTheme="majorEastAsia"/>
          <w:lang w:val="vi-VN"/>
        </w:rPr>
        <w:lastRenderedPageBreak/>
        <w:t xml:space="preserve">với các từ dùng trong phong cách hành chính, chính luận hay trong thơ ca và các tác phẩm văn xuôi nghệ thuật (được gọi chung là lớp từ vựng thi ca). </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lang w:val="vi-VN"/>
        </w:rPr>
        <w:t>Tiêu biểu cho phong cách khoa học là những từ về triết học, chính trị, thuật ngữ khoa học kỹ thuật (</w:t>
      </w:r>
      <w:r w:rsidRPr="00537AD5">
        <w:rPr>
          <w:rFonts w:eastAsiaTheme="majorEastAsia"/>
          <w:i/>
          <w:iCs/>
          <w:lang w:val="vi-VN"/>
        </w:rPr>
        <w:t>phạm trù, duy vật, biện chứng, lý thuyết, khái niệm, định nghĩa, giả thuyết, định lý, từ trường, trọng lượng,...)</w:t>
      </w:r>
      <w:r w:rsidRPr="00537AD5">
        <w:rPr>
          <w:rFonts w:eastAsiaTheme="majorEastAsia"/>
          <w:lang w:val="vi-VN"/>
        </w:rPr>
        <w:t xml:space="preserve">. Nhóm từ này phải đảm bảo tính chính xác, khách quan, logic, khái quát, trừu tượng, phi cá thể. Tiêu biểu cho </w:t>
      </w:r>
      <w:r w:rsidRPr="00537AD5">
        <w:rPr>
          <w:rFonts w:eastAsiaTheme="majorEastAsia"/>
          <w:iCs/>
          <w:lang w:val="vi-VN"/>
        </w:rPr>
        <w:t>phong cách hành chính sự vụ là n</w:t>
      </w:r>
      <w:r w:rsidRPr="00537AD5">
        <w:rPr>
          <w:rFonts w:eastAsiaTheme="majorEastAsia"/>
          <w:lang w:val="vi-VN"/>
        </w:rPr>
        <w:t>hững từ công vụ (</w:t>
      </w:r>
      <w:r w:rsidRPr="00537AD5">
        <w:rPr>
          <w:rFonts w:eastAsiaTheme="majorEastAsia"/>
          <w:i/>
          <w:iCs/>
          <w:lang w:val="vi-VN"/>
        </w:rPr>
        <w:t>sắc lệnh, nghị định, thông tư, chỉ thị, nghị quyết, thi hành,...)</w:t>
      </w:r>
      <w:r w:rsidRPr="00537AD5">
        <w:rPr>
          <w:rFonts w:eastAsiaTheme="majorEastAsia"/>
          <w:lang w:val="vi-VN"/>
        </w:rPr>
        <w:t>. Đặc điểm của nhóm từ này là không có sắc thái biểu cảm. Ngược lại, từ vựng thi ca lại mang đậm sắc thái cảm xúc và trữ tình. Nhóm từ này được trau chuốt đặc biệt, có tính truyền cảm, tính hình tượng và mang dấu ấn cá nhân của tác giả. Thuộc vào lớp từ vựng thi ca có thể là các từ láy giàu tính biểu cảm, các từ đặc trưng chỉ dùng trong thi ca (</w:t>
      </w:r>
      <w:r w:rsidRPr="00537AD5">
        <w:rPr>
          <w:rFonts w:eastAsiaTheme="majorEastAsia"/>
          <w:i/>
          <w:iCs/>
          <w:lang w:val="vi-VN"/>
        </w:rPr>
        <w:t xml:space="preserve">bóng ác </w:t>
      </w:r>
      <w:r w:rsidRPr="00537AD5">
        <w:rPr>
          <w:rFonts w:eastAsiaTheme="majorEastAsia"/>
          <w:lang w:val="vi-VN"/>
        </w:rPr>
        <w:t>(mặt trời)</w:t>
      </w:r>
      <w:r w:rsidRPr="00537AD5">
        <w:rPr>
          <w:rFonts w:eastAsiaTheme="majorEastAsia"/>
          <w:i/>
          <w:lang w:val="vi-VN"/>
        </w:rPr>
        <w:t>,</w:t>
      </w:r>
      <w:r w:rsidRPr="00537AD5">
        <w:rPr>
          <w:rFonts w:eastAsiaTheme="majorEastAsia"/>
          <w:lang w:val="vi-VN"/>
        </w:rPr>
        <w:t xml:space="preserve"> </w:t>
      </w:r>
      <w:r w:rsidRPr="00537AD5">
        <w:rPr>
          <w:rFonts w:eastAsiaTheme="majorEastAsia"/>
          <w:i/>
          <w:iCs/>
          <w:lang w:val="vi-VN"/>
        </w:rPr>
        <w:t>thỏ</w:t>
      </w:r>
      <w:r w:rsidRPr="00537AD5">
        <w:rPr>
          <w:rFonts w:eastAsiaTheme="majorEastAsia"/>
          <w:lang w:val="vi-VN"/>
        </w:rPr>
        <w:t xml:space="preserve"> (mặt trăng)</w:t>
      </w:r>
      <w:r w:rsidRPr="00537AD5">
        <w:rPr>
          <w:rFonts w:eastAsiaTheme="majorEastAsia"/>
          <w:i/>
          <w:lang w:val="vi-VN"/>
        </w:rPr>
        <w:t xml:space="preserve">, </w:t>
      </w:r>
      <w:r w:rsidRPr="00537AD5">
        <w:rPr>
          <w:rFonts w:eastAsiaTheme="majorEastAsia"/>
          <w:i/>
          <w:iCs/>
          <w:lang w:val="vi-VN"/>
        </w:rPr>
        <w:t xml:space="preserve">hạt châu, lệ </w:t>
      </w:r>
      <w:r w:rsidRPr="00537AD5">
        <w:rPr>
          <w:rFonts w:eastAsiaTheme="majorEastAsia"/>
          <w:lang w:val="vi-VN"/>
        </w:rPr>
        <w:t>(nước mắt)</w:t>
      </w:r>
      <w:r w:rsidRPr="00537AD5">
        <w:rPr>
          <w:rFonts w:eastAsiaTheme="majorEastAsia"/>
          <w:i/>
          <w:lang w:val="vi-VN"/>
        </w:rPr>
        <w:t>,.</w:t>
      </w:r>
      <w:r w:rsidRPr="00537AD5">
        <w:rPr>
          <w:rFonts w:eastAsiaTheme="majorEastAsia"/>
          <w:lang w:val="vi-VN"/>
        </w:rPr>
        <w:t>..) hoặc những ẩn dụ có tính chất ước lệ tượng trưng (</w:t>
      </w:r>
      <w:r w:rsidRPr="00537AD5">
        <w:rPr>
          <w:rFonts w:eastAsiaTheme="majorEastAsia"/>
          <w:i/>
          <w:iCs/>
          <w:lang w:val="vi-VN"/>
        </w:rPr>
        <w:t>hoa, bến</w:t>
      </w:r>
      <w:r w:rsidRPr="00537AD5">
        <w:rPr>
          <w:rFonts w:eastAsiaTheme="majorEastAsia"/>
          <w:lang w:val="vi-VN"/>
        </w:rPr>
        <w:t xml:space="preserve"> (chỉ con gái), </w:t>
      </w:r>
      <w:r w:rsidRPr="00537AD5">
        <w:rPr>
          <w:rFonts w:eastAsiaTheme="majorEastAsia"/>
          <w:i/>
          <w:lang w:val="vi-VN"/>
        </w:rPr>
        <w:t>ong,</w:t>
      </w:r>
      <w:r w:rsidRPr="00537AD5">
        <w:rPr>
          <w:rFonts w:eastAsiaTheme="majorEastAsia"/>
          <w:lang w:val="vi-VN"/>
        </w:rPr>
        <w:t xml:space="preserve"> </w:t>
      </w:r>
      <w:r w:rsidRPr="00537AD5">
        <w:rPr>
          <w:rFonts w:eastAsiaTheme="majorEastAsia"/>
          <w:i/>
          <w:iCs/>
          <w:lang w:val="vi-VN"/>
        </w:rPr>
        <w:t>bướm, thuyền</w:t>
      </w:r>
      <w:r w:rsidRPr="00537AD5">
        <w:rPr>
          <w:rFonts w:eastAsiaTheme="majorEastAsia"/>
          <w:lang w:val="vi-VN"/>
        </w:rPr>
        <w:t xml:space="preserve"> (con trai),</w:t>
      </w:r>
      <w:r w:rsidRPr="00537AD5">
        <w:rPr>
          <w:rFonts w:eastAsiaTheme="majorEastAsia"/>
          <w:i/>
          <w:iCs/>
          <w:lang w:val="vi-VN"/>
        </w:rPr>
        <w:t>...</w:t>
      </w:r>
      <w:r w:rsidRPr="00537AD5">
        <w:rPr>
          <w:rFonts w:eastAsiaTheme="majorEastAsia"/>
          <w:iCs/>
          <w:lang w:val="vi-VN"/>
        </w:rPr>
        <w:t>),...</w:t>
      </w:r>
    </w:p>
    <w:p w:rsidR="00F63D93" w:rsidRPr="00537AD5" w:rsidRDefault="00F63D93" w:rsidP="00F63D93">
      <w:pPr>
        <w:spacing w:before="120" w:after="120" w:line="360" w:lineRule="auto"/>
        <w:ind w:firstLine="567"/>
        <w:jc w:val="both"/>
        <w:rPr>
          <w:rFonts w:eastAsiaTheme="majorEastAsia"/>
          <w:lang w:val="vi-VN"/>
        </w:rPr>
      </w:pPr>
      <w:r w:rsidRPr="00537AD5">
        <w:rPr>
          <w:rFonts w:eastAsiaTheme="majorEastAsia"/>
          <w:kern w:val="2"/>
          <w:lang w:val="vi-VN" w:eastAsia="zh-CN"/>
          <w14:ligatures w14:val="standardContextual"/>
        </w:rPr>
        <w:t>Sự phân chia các lớp từ tiếng Việt theo phong cách chỉ là tương tối. Trên thực tế, TVSV vẫn có thể tham gia vào phong cách nói, từ vựng hội thoại vẫn có thể tham gia vào phong cách viết. Nhóm từ ngữ thuộc phong cách nghệ thuật vẫn có thể tham gia vào các phong cách chính luận, hành chính và ngược lại. Tuy nhiên, tính riêng biệt về từ vựng của các phong cách vẫn thể hiện rõ ràng.</w:t>
      </w:r>
    </w:p>
    <w:p w:rsidR="00F63D93" w:rsidRPr="00537AD5" w:rsidRDefault="00F63D93" w:rsidP="00F63D93">
      <w:pPr>
        <w:spacing w:line="360" w:lineRule="auto"/>
        <w:ind w:firstLineChars="235" w:firstLine="661"/>
        <w:jc w:val="right"/>
        <w:rPr>
          <w:rFonts w:eastAsiaTheme="majorEastAsia"/>
          <w:b/>
          <w:sz w:val="20"/>
          <w:szCs w:val="20"/>
          <w:lang w:val="vi-VN"/>
        </w:rPr>
      </w:pPr>
      <w:r w:rsidRPr="00537AD5">
        <w:rPr>
          <w:rFonts w:eastAsiaTheme="majorEastAsia"/>
          <w:b/>
          <w:lang w:val="vi-VN"/>
        </w:rPr>
        <w:t xml:space="preserve">                                          </w:t>
      </w:r>
      <w:r w:rsidRPr="00537AD5">
        <w:rPr>
          <w:rFonts w:eastAsiaTheme="majorEastAsia"/>
          <w:b/>
          <w:sz w:val="20"/>
          <w:szCs w:val="20"/>
          <w:lang w:val="vi-VN"/>
        </w:rPr>
        <w:t>NGUYỄN THỊ PHƯƠNG</w:t>
      </w:r>
    </w:p>
    <w:p w:rsidR="00F63D93" w:rsidRPr="00537AD5" w:rsidRDefault="00F63D93" w:rsidP="00F63D93">
      <w:pPr>
        <w:spacing w:line="360" w:lineRule="auto"/>
        <w:jc w:val="both"/>
        <w:rPr>
          <w:rFonts w:eastAsiaTheme="majorEastAsia"/>
          <w:b/>
          <w:iCs/>
          <w:sz w:val="24"/>
          <w:szCs w:val="24"/>
          <w:lang w:val="vi-VN"/>
        </w:rPr>
      </w:pPr>
      <w:r w:rsidRPr="00537AD5">
        <w:rPr>
          <w:rFonts w:eastAsiaTheme="majorEastAsia"/>
          <w:b/>
          <w:iCs/>
          <w:sz w:val="24"/>
          <w:szCs w:val="24"/>
          <w:lang w:val="vi-VN"/>
        </w:rPr>
        <w:t>Tài liệu tham khảo</w:t>
      </w:r>
    </w:p>
    <w:p w:rsidR="00F63D93" w:rsidRPr="00537AD5" w:rsidRDefault="00F63D93" w:rsidP="00F63D93">
      <w:pPr>
        <w:numPr>
          <w:ilvl w:val="0"/>
          <w:numId w:val="1"/>
        </w:numPr>
        <w:spacing w:line="360" w:lineRule="auto"/>
        <w:ind w:left="720" w:hanging="360"/>
        <w:jc w:val="both"/>
        <w:rPr>
          <w:rFonts w:eastAsiaTheme="majorEastAsia"/>
          <w:bCs/>
          <w:iCs/>
          <w:sz w:val="24"/>
          <w:szCs w:val="24"/>
          <w:lang w:val="vi-VN"/>
        </w:rPr>
      </w:pPr>
      <w:r w:rsidRPr="00537AD5">
        <w:rPr>
          <w:rFonts w:eastAsiaTheme="majorEastAsia"/>
          <w:bCs/>
          <w:iCs/>
          <w:sz w:val="24"/>
          <w:szCs w:val="24"/>
          <w:lang w:val="vi-VN"/>
        </w:rPr>
        <w:t xml:space="preserve">Nguyễn Văn Tu, </w:t>
      </w:r>
      <w:r w:rsidRPr="00537AD5">
        <w:rPr>
          <w:rFonts w:eastAsiaTheme="majorEastAsia"/>
          <w:bCs/>
          <w:i/>
          <w:iCs/>
          <w:sz w:val="24"/>
          <w:szCs w:val="24"/>
          <w:lang w:val="vi-VN"/>
        </w:rPr>
        <w:t>Từ và vốn tiếng Việt hiện đại</w:t>
      </w:r>
      <w:r w:rsidRPr="00537AD5">
        <w:rPr>
          <w:rFonts w:eastAsiaTheme="majorEastAsia"/>
          <w:bCs/>
          <w:iCs/>
          <w:sz w:val="24"/>
          <w:szCs w:val="24"/>
          <w:lang w:val="vi-VN"/>
        </w:rPr>
        <w:t>, Nxb. Đại học và Trung học chuyên nghiêp, Hà Nội, 1976.</w:t>
      </w:r>
    </w:p>
    <w:p w:rsidR="00F63D93" w:rsidRPr="00537AD5" w:rsidRDefault="00F63D93" w:rsidP="00F63D93">
      <w:pPr>
        <w:numPr>
          <w:ilvl w:val="0"/>
          <w:numId w:val="1"/>
        </w:numPr>
        <w:spacing w:line="360" w:lineRule="auto"/>
        <w:ind w:left="720" w:firstLineChars="235" w:firstLine="564"/>
        <w:jc w:val="both"/>
        <w:rPr>
          <w:rFonts w:eastAsiaTheme="majorEastAsia"/>
          <w:bCs/>
          <w:iCs/>
          <w:sz w:val="24"/>
          <w:szCs w:val="24"/>
        </w:rPr>
      </w:pPr>
      <w:r w:rsidRPr="00537AD5">
        <w:rPr>
          <w:rFonts w:eastAsiaTheme="majorEastAsia"/>
          <w:sz w:val="24"/>
          <w:szCs w:val="24"/>
          <w:lang w:val="vi-VN"/>
        </w:rPr>
        <w:t xml:space="preserve">Đinh Trọng Lạc, </w:t>
      </w:r>
      <w:r w:rsidRPr="00537AD5">
        <w:rPr>
          <w:rFonts w:eastAsiaTheme="majorEastAsia"/>
          <w:i/>
          <w:sz w:val="24"/>
          <w:szCs w:val="24"/>
          <w:lang w:val="vi-VN"/>
        </w:rPr>
        <w:t>99 Phương tiện và Biện pháp tu từ tiếng Việt</w:t>
      </w:r>
      <w:r w:rsidRPr="00537AD5">
        <w:rPr>
          <w:rFonts w:eastAsiaTheme="majorEastAsia"/>
          <w:sz w:val="24"/>
          <w:szCs w:val="24"/>
          <w:lang w:val="vi-VN"/>
        </w:rPr>
        <w:t>, Nxb. Giáo dục,</w:t>
      </w:r>
      <w:r w:rsidRPr="00537AD5">
        <w:rPr>
          <w:rFonts w:eastAsiaTheme="majorEastAsia"/>
          <w:sz w:val="24"/>
          <w:szCs w:val="24"/>
        </w:rPr>
        <w:t xml:space="preserve"> Hà Nội,</w:t>
      </w:r>
      <w:r w:rsidRPr="00537AD5">
        <w:rPr>
          <w:rFonts w:eastAsiaTheme="majorEastAsia"/>
          <w:sz w:val="24"/>
          <w:szCs w:val="24"/>
          <w:lang w:val="vi-VN"/>
        </w:rPr>
        <w:t xml:space="preserve"> 1996.</w:t>
      </w:r>
    </w:p>
    <w:p w:rsidR="00F63D93" w:rsidRPr="00537AD5" w:rsidRDefault="00F63D93" w:rsidP="00F63D93">
      <w:pPr>
        <w:numPr>
          <w:ilvl w:val="0"/>
          <w:numId w:val="1"/>
        </w:numPr>
        <w:spacing w:line="360" w:lineRule="auto"/>
        <w:ind w:left="720" w:firstLineChars="235" w:firstLine="564"/>
        <w:jc w:val="both"/>
        <w:rPr>
          <w:rFonts w:eastAsiaTheme="majorEastAsia"/>
          <w:bCs/>
          <w:iCs/>
          <w:sz w:val="24"/>
          <w:szCs w:val="24"/>
        </w:rPr>
      </w:pPr>
      <w:r w:rsidRPr="00537AD5">
        <w:rPr>
          <w:rFonts w:eastAsiaTheme="majorEastAsia"/>
          <w:bCs/>
          <w:iCs/>
          <w:sz w:val="24"/>
          <w:szCs w:val="24"/>
        </w:rPr>
        <w:t xml:space="preserve">Nguyễn Như Ý (Chủ biên), Hà Quang Năng, Đỗ Việt Hùng, Đặng Ngọc Lệ, </w:t>
      </w:r>
      <w:r w:rsidRPr="00537AD5">
        <w:rPr>
          <w:rFonts w:eastAsiaTheme="majorEastAsia"/>
          <w:bCs/>
          <w:i/>
          <w:iCs/>
          <w:sz w:val="24"/>
          <w:szCs w:val="24"/>
        </w:rPr>
        <w:t>Từ điển giải thích Thuật ngữ Ngôn ngữ học</w:t>
      </w:r>
      <w:r w:rsidRPr="00537AD5">
        <w:rPr>
          <w:rFonts w:eastAsiaTheme="majorEastAsia"/>
          <w:bCs/>
          <w:iCs/>
          <w:sz w:val="24"/>
          <w:szCs w:val="24"/>
        </w:rPr>
        <w:t>, Nxb. Giáo dục, Hà Nội, 1996.</w:t>
      </w:r>
    </w:p>
    <w:p w:rsidR="00F63D93" w:rsidRPr="00537AD5" w:rsidRDefault="00F63D93" w:rsidP="00F63D93">
      <w:pPr>
        <w:numPr>
          <w:ilvl w:val="0"/>
          <w:numId w:val="1"/>
        </w:numPr>
        <w:spacing w:line="360" w:lineRule="auto"/>
        <w:ind w:left="720" w:firstLineChars="235" w:firstLine="564"/>
        <w:jc w:val="both"/>
        <w:rPr>
          <w:rFonts w:eastAsiaTheme="majorEastAsia"/>
          <w:bCs/>
          <w:iCs/>
          <w:sz w:val="24"/>
          <w:szCs w:val="24"/>
        </w:rPr>
      </w:pPr>
      <w:r w:rsidRPr="00537AD5">
        <w:rPr>
          <w:rFonts w:eastAsiaTheme="majorEastAsia"/>
          <w:bCs/>
          <w:iCs/>
          <w:sz w:val="24"/>
          <w:szCs w:val="24"/>
        </w:rPr>
        <w:t xml:space="preserve">Đỗ Hữu Châu, </w:t>
      </w:r>
      <w:r w:rsidRPr="00537AD5">
        <w:rPr>
          <w:rFonts w:eastAsiaTheme="majorEastAsia"/>
          <w:bCs/>
          <w:i/>
          <w:sz w:val="24"/>
          <w:szCs w:val="24"/>
        </w:rPr>
        <w:t xml:space="preserve">Giáo trình Từ vựng học tiếng Việt, </w:t>
      </w:r>
      <w:r w:rsidRPr="00537AD5">
        <w:rPr>
          <w:rFonts w:eastAsiaTheme="majorEastAsia"/>
          <w:bCs/>
          <w:iCs/>
          <w:sz w:val="24"/>
          <w:szCs w:val="24"/>
        </w:rPr>
        <w:t>Nxb. Đại học Sư phạm, Hà Nội, 2006.</w:t>
      </w:r>
    </w:p>
    <w:p w:rsidR="00F63D93" w:rsidRPr="00537AD5" w:rsidRDefault="00F63D93" w:rsidP="00F63D93">
      <w:pPr>
        <w:numPr>
          <w:ilvl w:val="0"/>
          <w:numId w:val="1"/>
        </w:numPr>
        <w:spacing w:line="360" w:lineRule="auto"/>
        <w:ind w:left="720" w:firstLineChars="235" w:firstLine="564"/>
        <w:jc w:val="both"/>
        <w:rPr>
          <w:rFonts w:eastAsiaTheme="majorEastAsia"/>
          <w:bCs/>
          <w:iCs/>
          <w:sz w:val="24"/>
          <w:szCs w:val="24"/>
        </w:rPr>
      </w:pPr>
      <w:r w:rsidRPr="00537AD5">
        <w:rPr>
          <w:rFonts w:eastAsiaTheme="majorEastAsia"/>
          <w:bCs/>
          <w:iCs/>
          <w:sz w:val="24"/>
          <w:szCs w:val="24"/>
        </w:rPr>
        <w:t xml:space="preserve">Nguyễn Thiện Giáp, </w:t>
      </w:r>
      <w:r w:rsidRPr="00537AD5">
        <w:rPr>
          <w:rFonts w:eastAsiaTheme="majorEastAsia"/>
          <w:bCs/>
          <w:i/>
          <w:iCs/>
          <w:sz w:val="24"/>
          <w:szCs w:val="24"/>
        </w:rPr>
        <w:t>Từ vựng học tiếng Việt</w:t>
      </w:r>
      <w:r w:rsidRPr="00537AD5">
        <w:rPr>
          <w:rFonts w:eastAsiaTheme="majorEastAsia"/>
          <w:bCs/>
          <w:iCs/>
          <w:sz w:val="24"/>
          <w:szCs w:val="24"/>
        </w:rPr>
        <w:t>, Nxb. Giáo dục, Hà Nội, 2009.</w:t>
      </w:r>
    </w:p>
    <w:p w:rsidR="00F63D93" w:rsidRPr="00537AD5" w:rsidRDefault="00F63D93" w:rsidP="00F63D93">
      <w:pPr>
        <w:numPr>
          <w:ilvl w:val="0"/>
          <w:numId w:val="1"/>
        </w:numPr>
        <w:spacing w:line="360" w:lineRule="auto"/>
        <w:ind w:left="720" w:firstLineChars="235" w:firstLine="564"/>
        <w:jc w:val="both"/>
        <w:rPr>
          <w:rFonts w:eastAsiaTheme="majorEastAsia"/>
          <w:bCs/>
          <w:iCs/>
        </w:rPr>
      </w:pPr>
      <w:r w:rsidRPr="00537AD5">
        <w:rPr>
          <w:rFonts w:eastAsiaTheme="majorEastAsia"/>
          <w:bCs/>
          <w:iCs/>
          <w:sz w:val="24"/>
          <w:szCs w:val="24"/>
        </w:rPr>
        <w:lastRenderedPageBreak/>
        <w:t xml:space="preserve">Nguyễn Thiện Giáp, </w:t>
      </w:r>
      <w:r w:rsidRPr="00537AD5">
        <w:rPr>
          <w:rFonts w:eastAsiaTheme="majorEastAsia"/>
          <w:bCs/>
          <w:i/>
          <w:sz w:val="24"/>
          <w:szCs w:val="24"/>
        </w:rPr>
        <w:t>Từ và từ vựng học tiếng Việt</w:t>
      </w:r>
      <w:r w:rsidRPr="00537AD5">
        <w:rPr>
          <w:rFonts w:eastAsiaTheme="majorEastAsia"/>
          <w:bCs/>
          <w:iCs/>
          <w:sz w:val="24"/>
          <w:szCs w:val="24"/>
        </w:rPr>
        <w:t>, Nxb. Đại học Quốc gia Hà Nội, Hà Nội, 2015.</w:t>
      </w:r>
    </w:p>
    <w:p w:rsidR="00F63D93" w:rsidRPr="00537AD5" w:rsidRDefault="00F63D93" w:rsidP="00F63D93">
      <w:pPr>
        <w:pStyle w:val="NormalWeb"/>
        <w:spacing w:before="0" w:beforeAutospacing="0" w:after="0" w:afterAutospacing="0" w:line="360" w:lineRule="auto"/>
        <w:ind w:firstLine="567"/>
        <w:jc w:val="both"/>
        <w:rPr>
          <w:rFonts w:eastAsiaTheme="majorEastAsia"/>
          <w:b/>
          <w:sz w:val="28"/>
          <w:szCs w:val="28"/>
        </w:rPr>
      </w:pPr>
      <w:r w:rsidRPr="00537AD5">
        <w:rPr>
          <w:rFonts w:eastAsiaTheme="majorEastAsia"/>
          <w:bCs/>
          <w:iCs/>
        </w:rPr>
        <w:t xml:space="preserve"> </w:t>
      </w:r>
    </w:p>
    <w:p w:rsidR="00F63D93" w:rsidRPr="00537AD5" w:rsidRDefault="00F63D93" w:rsidP="00F63D93">
      <w:pPr>
        <w:spacing w:line="360" w:lineRule="auto"/>
        <w:rPr>
          <w:rFonts w:eastAsiaTheme="majorEastAsia"/>
        </w:rPr>
      </w:pPr>
    </w:p>
    <w:p w:rsidR="00F63D93" w:rsidRPr="00537AD5" w:rsidRDefault="00F63D93" w:rsidP="00F63D93">
      <w:pPr>
        <w:spacing w:line="360" w:lineRule="auto"/>
        <w:rPr>
          <w:rFonts w:eastAsiaTheme="majorEastAsia"/>
        </w:rPr>
      </w:pPr>
    </w:p>
    <w:p w:rsidR="0074324B" w:rsidRDefault="00F63D93">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F2EF5"/>
    <w:multiLevelType w:val="singleLevel"/>
    <w:tmpl w:val="AB4E5EB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81"/>
    <w:rsid w:val="005A6D57"/>
    <w:rsid w:val="007D3409"/>
    <w:rsid w:val="00C02CDB"/>
    <w:rsid w:val="00D03781"/>
    <w:rsid w:val="00F63D93"/>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F887F-356F-420E-9C9A-8E102351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9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63D93"/>
    <w:pPr>
      <w:spacing w:before="100" w:beforeAutospacing="1" w:after="100" w:afterAutospacing="1"/>
    </w:pPr>
    <w:rPr>
      <w:sz w:val="24"/>
      <w:szCs w:val="24"/>
    </w:rPr>
  </w:style>
  <w:style w:type="character" w:customStyle="1" w:styleId="NormalWebChar">
    <w:name w:val="Normal (Web) Char"/>
    <w:link w:val="NormalWeb"/>
    <w:uiPriority w:val="99"/>
    <w:qFormat/>
    <w:locked/>
    <w:rsid w:val="00F63D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2025-12-15T07:50:00Z</dcterms:created>
  <dcterms:modified xsi:type="dcterms:W3CDTF">2025-12-15T07:50:00Z</dcterms:modified>
</cp:coreProperties>
</file>